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5DFA" w14:textId="05E82EB6" w:rsidR="00D17CAA" w:rsidRPr="00F439E1" w:rsidRDefault="44DE41F7" w:rsidP="10F3B6D9">
      <w:pPr>
        <w:spacing w:line="257" w:lineRule="auto"/>
        <w:jc w:val="center"/>
        <w:rPr>
          <w:rFonts w:ascii="Montserrat" w:hAnsi="Montserrat"/>
          <w:b/>
          <w:bCs/>
          <w:lang w:val="en-US"/>
        </w:rPr>
      </w:pPr>
      <w:r w:rsidRPr="00F439E1">
        <w:rPr>
          <w:rFonts w:ascii="Montserrat" w:eastAsia="Times New Roman" w:hAnsi="Montserrat" w:cs="Times New Roman"/>
          <w:b/>
          <w:bCs/>
          <w:sz w:val="32"/>
          <w:szCs w:val="32"/>
          <w:lang w:val="en-GB"/>
        </w:rPr>
        <w:t>TRANSPARENCY</w:t>
      </w:r>
    </w:p>
    <w:p w14:paraId="1775A37E" w14:textId="6765E3E8"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Learn more about how conflict of interest is recognized, and transparency of assessment is ensured within the application process of NDF.</w:t>
      </w:r>
    </w:p>
    <w:p w14:paraId="69920426" w14:textId="75F211EB"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 xml:space="preserve"> </w:t>
      </w:r>
    </w:p>
    <w:p w14:paraId="61939C74" w14:textId="06B25A58"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b/>
          <w:bCs/>
          <w:sz w:val="20"/>
          <w:szCs w:val="20"/>
          <w:u w:val="single"/>
          <w:lang w:val="en-GB"/>
        </w:rPr>
        <w:t>Transparency of Applicants</w:t>
      </w:r>
    </w:p>
    <w:p w14:paraId="29897930" w14:textId="0AEE5809" w:rsidR="00D17CAA" w:rsidRPr="00117495" w:rsidRDefault="44DE41F7" w:rsidP="10F3B6D9">
      <w:pPr>
        <w:pStyle w:val="Ingenafstand"/>
        <w:rPr>
          <w:rFonts w:ascii="Montserrat" w:hAnsi="Montserrat"/>
          <w:sz w:val="20"/>
          <w:szCs w:val="20"/>
          <w:lang w:val="en-US"/>
        </w:rPr>
      </w:pPr>
      <w:r w:rsidRPr="00117495">
        <w:rPr>
          <w:rFonts w:ascii="Montserrat" w:eastAsia="Times New Roman" w:hAnsi="Montserrat" w:cs="Times New Roman"/>
          <w:sz w:val="20"/>
          <w:szCs w:val="20"/>
          <w:lang w:val="en-GB"/>
        </w:rPr>
        <w:t>NDF Consortium Partners cannot apply to or be a partner in a project that receives the support of the NDF. Other civil society actors affiliated with an NDF Consortium Partner - ex. as membership organisations - can apply on the precondition that they are an independent legal entity.</w:t>
      </w:r>
    </w:p>
    <w:p w14:paraId="1544E06A" w14:textId="27ECA842" w:rsidR="00D17CAA" w:rsidRPr="00117495" w:rsidRDefault="44DE41F7" w:rsidP="10F3B6D9">
      <w:pPr>
        <w:pStyle w:val="Ingenafstand"/>
        <w:rPr>
          <w:rFonts w:ascii="Montserrat" w:hAnsi="Montserrat"/>
          <w:sz w:val="20"/>
          <w:szCs w:val="20"/>
          <w:lang w:val="en-US"/>
        </w:rPr>
      </w:pPr>
      <w:r w:rsidRPr="00117495">
        <w:rPr>
          <w:rFonts w:ascii="Montserrat" w:eastAsia="Times New Roman" w:hAnsi="Montserrat" w:cs="Times New Roman"/>
          <w:sz w:val="20"/>
          <w:szCs w:val="20"/>
          <w:lang w:val="en-GB"/>
        </w:rPr>
        <w:t xml:space="preserve"> </w:t>
      </w:r>
    </w:p>
    <w:p w14:paraId="435A3D4F" w14:textId="54C4BF42" w:rsidR="00D17CAA" w:rsidRPr="00117495" w:rsidRDefault="44DE41F7" w:rsidP="10F3B6D9">
      <w:pPr>
        <w:spacing w:after="0"/>
        <w:rPr>
          <w:rFonts w:ascii="Montserrat" w:hAnsi="Montserrat"/>
          <w:sz w:val="20"/>
          <w:szCs w:val="20"/>
          <w:lang w:val="en-US"/>
        </w:rPr>
      </w:pPr>
      <w:r w:rsidRPr="00117495">
        <w:rPr>
          <w:rFonts w:ascii="Montserrat" w:eastAsia="Times New Roman" w:hAnsi="Montserrat" w:cs="Times New Roman"/>
          <w:sz w:val="20"/>
          <w:szCs w:val="20"/>
          <w:lang w:val="en-GB"/>
        </w:rPr>
        <w:t>Civil society actors that do not live up to the obligations in a current contract with the NDF cannot apply until the defaults are remedied. Organisations that have previously not lived up to the requirements of the NDF will undergo a capacity assessment before entering a new contract.</w:t>
      </w:r>
    </w:p>
    <w:p w14:paraId="290FD56D" w14:textId="0A6A2B53" w:rsidR="00D17CAA" w:rsidRPr="00117495" w:rsidRDefault="44DE41F7" w:rsidP="10F3B6D9">
      <w:pPr>
        <w:spacing w:after="0"/>
        <w:rPr>
          <w:rFonts w:ascii="Montserrat" w:hAnsi="Montserrat"/>
          <w:sz w:val="20"/>
          <w:szCs w:val="20"/>
          <w:lang w:val="en-US"/>
        </w:rPr>
      </w:pPr>
      <w:r w:rsidRPr="00117495">
        <w:rPr>
          <w:rFonts w:ascii="Montserrat" w:eastAsia="Times New Roman" w:hAnsi="Montserrat" w:cs="Times New Roman"/>
          <w:sz w:val="20"/>
          <w:szCs w:val="20"/>
          <w:lang w:val="en-GB"/>
        </w:rPr>
        <w:t xml:space="preserve"> </w:t>
      </w:r>
    </w:p>
    <w:p w14:paraId="2C6EAF5D" w14:textId="62D6483C"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 xml:space="preserve">Learn more about the five NDF Consortium Partners in the Annex on NDF Consortium Partners. </w:t>
      </w:r>
    </w:p>
    <w:p w14:paraId="2B8C526D" w14:textId="2CBC162B"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 xml:space="preserve"> </w:t>
      </w:r>
    </w:p>
    <w:p w14:paraId="3AF3A705" w14:textId="53BDDC76"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b/>
          <w:bCs/>
          <w:sz w:val="20"/>
          <w:szCs w:val="20"/>
          <w:u w:val="single"/>
          <w:lang w:val="en-GB"/>
        </w:rPr>
        <w:t>Transparency of Assessment</w:t>
      </w:r>
    </w:p>
    <w:p w14:paraId="2259E548" w14:textId="378A55A2"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 xml:space="preserve">Persons and/or Consortium Partners taking part in the assessment team, the Selection Committee or otherwise involved in the process are responsible for informing the NDF Grant Management of any existing or potential conflicts of interest related to their involvement in the selection process. </w:t>
      </w:r>
    </w:p>
    <w:p w14:paraId="6A0431BF" w14:textId="709F2371"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A conflict of interest may exist:</w:t>
      </w:r>
    </w:p>
    <w:p w14:paraId="1F871E35" w14:textId="314552A2" w:rsidR="00D17CAA" w:rsidRPr="00117495" w:rsidRDefault="44DE41F7" w:rsidP="10F3B6D9">
      <w:pPr>
        <w:pStyle w:val="Listeafsnit"/>
        <w:numPr>
          <w:ilvl w:val="0"/>
          <w:numId w:val="3"/>
        </w:numPr>
        <w:spacing w:after="0"/>
        <w:rPr>
          <w:rFonts w:ascii="Montserrat" w:eastAsia="Times New Roman" w:hAnsi="Montserrat" w:cs="Times New Roman"/>
          <w:sz w:val="20"/>
          <w:szCs w:val="20"/>
          <w:lang w:val="en-GB"/>
        </w:rPr>
      </w:pPr>
      <w:r w:rsidRPr="00117495">
        <w:rPr>
          <w:rFonts w:ascii="Montserrat" w:eastAsia="Times New Roman" w:hAnsi="Montserrat" w:cs="Times New Roman"/>
          <w:sz w:val="20"/>
          <w:szCs w:val="20"/>
          <w:lang w:val="en-GB"/>
        </w:rPr>
        <w:t>Where a person or someone involved in the assessment team, Selection Committee or otherwise has a direct, indirect, personal, financial, or business interest in the decision made.</w:t>
      </w:r>
    </w:p>
    <w:p w14:paraId="203D24B3" w14:textId="34BD2E55" w:rsidR="00D17CAA" w:rsidRPr="00117495" w:rsidRDefault="44DE41F7" w:rsidP="10F3B6D9">
      <w:pPr>
        <w:pStyle w:val="Listeafsnit"/>
        <w:numPr>
          <w:ilvl w:val="0"/>
          <w:numId w:val="3"/>
        </w:numPr>
        <w:spacing w:after="0"/>
        <w:rPr>
          <w:rFonts w:ascii="Montserrat" w:eastAsia="Times New Roman" w:hAnsi="Montserrat" w:cs="Times New Roman"/>
          <w:sz w:val="20"/>
          <w:szCs w:val="20"/>
          <w:lang w:val="en-GB"/>
        </w:rPr>
      </w:pPr>
      <w:r w:rsidRPr="00117495">
        <w:rPr>
          <w:rFonts w:ascii="Montserrat" w:eastAsia="Times New Roman" w:hAnsi="Montserrat" w:cs="Times New Roman"/>
          <w:sz w:val="20"/>
          <w:szCs w:val="20"/>
          <w:lang w:val="en-GB"/>
        </w:rPr>
        <w:t xml:space="preserve">Where a person or a Consortium Partner involved in the assessment team, Selection Committee or otherwise involved has a direct personal, financial, or business interest in the decision made. </w:t>
      </w:r>
    </w:p>
    <w:p w14:paraId="61CAA903" w14:textId="48971344" w:rsidR="00D17CAA" w:rsidRPr="00117495" w:rsidRDefault="44DE41F7" w:rsidP="10F3B6D9">
      <w:pPr>
        <w:pStyle w:val="Listeafsnit"/>
        <w:numPr>
          <w:ilvl w:val="0"/>
          <w:numId w:val="3"/>
        </w:numPr>
        <w:spacing w:after="0"/>
        <w:rPr>
          <w:rFonts w:ascii="Montserrat" w:eastAsia="Times New Roman" w:hAnsi="Montserrat" w:cs="Times New Roman"/>
          <w:sz w:val="20"/>
          <w:szCs w:val="20"/>
          <w:lang w:val="en-GB"/>
        </w:rPr>
      </w:pPr>
      <w:r w:rsidRPr="00117495">
        <w:rPr>
          <w:rFonts w:ascii="Montserrat" w:eastAsia="Times New Roman" w:hAnsi="Montserrat" w:cs="Times New Roman"/>
          <w:sz w:val="20"/>
          <w:szCs w:val="20"/>
          <w:lang w:val="en-GB"/>
        </w:rPr>
        <w:t>Where other relevant reasons for any of the above persons make it clear that a vested interest may exist.</w:t>
      </w:r>
    </w:p>
    <w:p w14:paraId="60AD9C45" w14:textId="6674A1CC" w:rsidR="00D17CAA" w:rsidRPr="00117495" w:rsidRDefault="44DE41F7" w:rsidP="10F3B6D9">
      <w:pPr>
        <w:spacing w:after="0"/>
        <w:ind w:left="720"/>
        <w:rPr>
          <w:rFonts w:ascii="Montserrat" w:hAnsi="Montserrat"/>
          <w:sz w:val="20"/>
          <w:szCs w:val="20"/>
          <w:lang w:val="en-US"/>
        </w:rPr>
      </w:pPr>
      <w:r w:rsidRPr="00117495">
        <w:rPr>
          <w:rFonts w:ascii="Montserrat" w:eastAsia="Times New Roman" w:hAnsi="Montserrat" w:cs="Times New Roman"/>
          <w:sz w:val="20"/>
          <w:szCs w:val="20"/>
          <w:lang w:val="en-GB"/>
        </w:rPr>
        <w:t xml:space="preserve"> </w:t>
      </w:r>
    </w:p>
    <w:p w14:paraId="76192DB6" w14:textId="49FECAE5"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 xml:space="preserve">The Administration Group assesses each case to determine whether a conflict of interest exists. This assessment by the Administration Group must be based on transparent criteria. The conclusion of this assessment by the Administration Group must be made in written form and filed (ex. via minutes from a meeting).  </w:t>
      </w:r>
    </w:p>
    <w:p w14:paraId="17D959D3" w14:textId="6393C455" w:rsidR="00D17CAA" w:rsidRPr="00117495" w:rsidRDefault="44DE41F7" w:rsidP="10F3B6D9">
      <w:pPr>
        <w:spacing w:line="257" w:lineRule="auto"/>
        <w:rPr>
          <w:rFonts w:ascii="Montserrat" w:hAnsi="Montserrat"/>
          <w:sz w:val="20"/>
          <w:szCs w:val="20"/>
          <w:lang w:val="en-US"/>
        </w:rPr>
      </w:pPr>
      <w:r w:rsidRPr="00117495">
        <w:rPr>
          <w:rFonts w:ascii="Montserrat" w:eastAsia="Times New Roman" w:hAnsi="Montserrat" w:cs="Times New Roman"/>
          <w:sz w:val="20"/>
          <w:szCs w:val="20"/>
          <w:lang w:val="en-GB"/>
        </w:rPr>
        <w:t>If the Administration Group determines that a conflict of interest exists, then the person and/or the Consortium Partner will not be able to participate in any decisions regarding the specified applicant, whose application has given rise to the conflict of interest.</w:t>
      </w:r>
    </w:p>
    <w:p w14:paraId="54BAEAE9" w14:textId="5ED90571" w:rsidR="00D17CAA" w:rsidRPr="00F439E1" w:rsidRDefault="44DE41F7" w:rsidP="10F3B6D9">
      <w:pPr>
        <w:spacing w:line="257" w:lineRule="auto"/>
        <w:rPr>
          <w:rFonts w:ascii="Montserrat" w:hAnsi="Montserrat"/>
          <w:lang w:val="en-US"/>
        </w:rPr>
      </w:pPr>
      <w:r w:rsidRPr="00F439E1">
        <w:rPr>
          <w:rFonts w:ascii="Montserrat" w:eastAsia="Times New Roman" w:hAnsi="Montserrat" w:cs="Times New Roman"/>
          <w:sz w:val="22"/>
          <w:szCs w:val="22"/>
          <w:lang w:val="en-GB"/>
        </w:rPr>
        <w:t xml:space="preserve"> </w:t>
      </w:r>
    </w:p>
    <w:p w14:paraId="154E450D" w14:textId="4E4BC708" w:rsidR="00D17CAA" w:rsidRPr="00F439E1" w:rsidRDefault="00D17CAA" w:rsidP="10F3B6D9">
      <w:pPr>
        <w:spacing w:line="257" w:lineRule="auto"/>
        <w:rPr>
          <w:rFonts w:ascii="Montserrat" w:eastAsia="Times New Roman" w:hAnsi="Montserrat" w:cs="Times New Roman"/>
          <w:sz w:val="22"/>
          <w:szCs w:val="22"/>
          <w:lang w:val="en-GB"/>
        </w:rPr>
      </w:pPr>
    </w:p>
    <w:p w14:paraId="205A6F2F" w14:textId="3931C7E7" w:rsidR="00D17CAA" w:rsidRPr="00F439E1" w:rsidRDefault="00D17CAA">
      <w:pPr>
        <w:rPr>
          <w:rFonts w:ascii="Montserrat" w:hAnsi="Montserrat"/>
          <w:lang w:val="en-US"/>
        </w:rPr>
      </w:pPr>
    </w:p>
    <w:sectPr w:rsidR="00D17CAA" w:rsidRPr="00F439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3BB" w14:textId="77777777" w:rsidR="006C22C4" w:rsidRDefault="006C22C4" w:rsidP="00117495">
      <w:pPr>
        <w:spacing w:after="0" w:line="240" w:lineRule="auto"/>
      </w:pPr>
      <w:r>
        <w:separator/>
      </w:r>
    </w:p>
  </w:endnote>
  <w:endnote w:type="continuationSeparator" w:id="0">
    <w:p w14:paraId="4DD7B3D7" w14:textId="77777777" w:rsidR="006C22C4" w:rsidRDefault="006C22C4" w:rsidP="0011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A4E1" w14:textId="77777777" w:rsidR="006C22C4" w:rsidRDefault="006C22C4" w:rsidP="00117495">
      <w:pPr>
        <w:spacing w:after="0" w:line="240" w:lineRule="auto"/>
      </w:pPr>
      <w:r>
        <w:separator/>
      </w:r>
    </w:p>
  </w:footnote>
  <w:footnote w:type="continuationSeparator" w:id="0">
    <w:p w14:paraId="58FD3FCF" w14:textId="77777777" w:rsidR="006C22C4" w:rsidRDefault="006C22C4" w:rsidP="0011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1F1" w14:textId="4558E93F" w:rsidR="00117495" w:rsidRDefault="00117495">
    <w:pPr>
      <w:pStyle w:val="Sidehoved"/>
    </w:pPr>
    <w:r>
      <w:rPr>
        <w:noProof/>
        <w:color w:val="2B579A"/>
        <w:shd w:val="clear" w:color="auto" w:fill="E6E6E6"/>
      </w:rPr>
      <w:drawing>
        <wp:anchor distT="114300" distB="114300" distL="114300" distR="114300" simplePos="0" relativeHeight="251659264" behindDoc="1" locked="0" layoutInCell="1" hidden="0" allowOverlap="1" wp14:anchorId="7EF8F1BF" wp14:editId="1FDEEE37">
          <wp:simplePos x="0" y="0"/>
          <wp:positionH relativeFrom="margin">
            <wp:posOffset>0</wp:posOffset>
          </wp:positionH>
          <wp:positionV relativeFrom="page">
            <wp:posOffset>563245</wp:posOffset>
          </wp:positionV>
          <wp:extent cx="1002254" cy="617392"/>
          <wp:effectExtent l="0" t="0" r="0" b="0"/>
          <wp:wrapNone/>
          <wp:docPr id="2" name="Picture 2" descr="Et billede, der indeholder sort, tekst,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sort, tekst, skærmbillede&#10;&#10;AI-genereret indhold kan være ukorrekt."/>
                  <pic:cNvPicPr preferRelativeResize="0"/>
                </pic:nvPicPr>
                <pic:blipFill rotWithShape="1">
                  <a:blip r:embed="rId1"/>
                  <a:srcRect r="73755" b="-23295"/>
                  <a:stretch/>
                </pic:blipFill>
                <pic:spPr bwMode="auto">
                  <a:xfrm>
                    <a:off x="0" y="0"/>
                    <a:ext cx="1006013" cy="619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865C"/>
    <w:multiLevelType w:val="hybridMultilevel"/>
    <w:tmpl w:val="941EED62"/>
    <w:lvl w:ilvl="0" w:tplc="8D543F52">
      <w:start w:val="1"/>
      <w:numFmt w:val="bullet"/>
      <w:lvlText w:val="·"/>
      <w:lvlJc w:val="left"/>
      <w:pPr>
        <w:ind w:left="720" w:hanging="360"/>
      </w:pPr>
      <w:rPr>
        <w:rFonts w:ascii="Symbol" w:hAnsi="Symbol" w:hint="default"/>
      </w:rPr>
    </w:lvl>
    <w:lvl w:ilvl="1" w:tplc="964691D8">
      <w:start w:val="1"/>
      <w:numFmt w:val="bullet"/>
      <w:lvlText w:val="o"/>
      <w:lvlJc w:val="left"/>
      <w:pPr>
        <w:ind w:left="1440" w:hanging="360"/>
      </w:pPr>
      <w:rPr>
        <w:rFonts w:ascii="Courier New" w:hAnsi="Courier New" w:hint="default"/>
      </w:rPr>
    </w:lvl>
    <w:lvl w:ilvl="2" w:tplc="9DA096F2">
      <w:start w:val="1"/>
      <w:numFmt w:val="bullet"/>
      <w:lvlText w:val=""/>
      <w:lvlJc w:val="left"/>
      <w:pPr>
        <w:ind w:left="2160" w:hanging="360"/>
      </w:pPr>
      <w:rPr>
        <w:rFonts w:ascii="Wingdings" w:hAnsi="Wingdings" w:hint="default"/>
      </w:rPr>
    </w:lvl>
    <w:lvl w:ilvl="3" w:tplc="694E33AC">
      <w:start w:val="1"/>
      <w:numFmt w:val="bullet"/>
      <w:lvlText w:val=""/>
      <w:lvlJc w:val="left"/>
      <w:pPr>
        <w:ind w:left="2880" w:hanging="360"/>
      </w:pPr>
      <w:rPr>
        <w:rFonts w:ascii="Symbol" w:hAnsi="Symbol" w:hint="default"/>
      </w:rPr>
    </w:lvl>
    <w:lvl w:ilvl="4" w:tplc="DDB27566">
      <w:start w:val="1"/>
      <w:numFmt w:val="bullet"/>
      <w:lvlText w:val="o"/>
      <w:lvlJc w:val="left"/>
      <w:pPr>
        <w:ind w:left="3600" w:hanging="360"/>
      </w:pPr>
      <w:rPr>
        <w:rFonts w:ascii="Courier New" w:hAnsi="Courier New" w:hint="default"/>
      </w:rPr>
    </w:lvl>
    <w:lvl w:ilvl="5" w:tplc="5C523B36">
      <w:start w:val="1"/>
      <w:numFmt w:val="bullet"/>
      <w:lvlText w:val=""/>
      <w:lvlJc w:val="left"/>
      <w:pPr>
        <w:ind w:left="4320" w:hanging="360"/>
      </w:pPr>
      <w:rPr>
        <w:rFonts w:ascii="Wingdings" w:hAnsi="Wingdings" w:hint="default"/>
      </w:rPr>
    </w:lvl>
    <w:lvl w:ilvl="6" w:tplc="F7260DC4">
      <w:start w:val="1"/>
      <w:numFmt w:val="bullet"/>
      <w:lvlText w:val=""/>
      <w:lvlJc w:val="left"/>
      <w:pPr>
        <w:ind w:left="5040" w:hanging="360"/>
      </w:pPr>
      <w:rPr>
        <w:rFonts w:ascii="Symbol" w:hAnsi="Symbol" w:hint="default"/>
      </w:rPr>
    </w:lvl>
    <w:lvl w:ilvl="7" w:tplc="871243F4">
      <w:start w:val="1"/>
      <w:numFmt w:val="bullet"/>
      <w:lvlText w:val="o"/>
      <w:lvlJc w:val="left"/>
      <w:pPr>
        <w:ind w:left="5760" w:hanging="360"/>
      </w:pPr>
      <w:rPr>
        <w:rFonts w:ascii="Courier New" w:hAnsi="Courier New" w:hint="default"/>
      </w:rPr>
    </w:lvl>
    <w:lvl w:ilvl="8" w:tplc="554CB4B8">
      <w:start w:val="1"/>
      <w:numFmt w:val="bullet"/>
      <w:lvlText w:val=""/>
      <w:lvlJc w:val="left"/>
      <w:pPr>
        <w:ind w:left="6480" w:hanging="360"/>
      </w:pPr>
      <w:rPr>
        <w:rFonts w:ascii="Wingdings" w:hAnsi="Wingdings" w:hint="default"/>
      </w:rPr>
    </w:lvl>
  </w:abstractNum>
  <w:abstractNum w:abstractNumId="1" w15:restartNumberingAfterBreak="0">
    <w:nsid w:val="48FA579C"/>
    <w:multiLevelType w:val="hybridMultilevel"/>
    <w:tmpl w:val="062C2830"/>
    <w:lvl w:ilvl="0" w:tplc="3398BB0A">
      <w:start w:val="1"/>
      <w:numFmt w:val="bullet"/>
      <w:lvlText w:val="·"/>
      <w:lvlJc w:val="left"/>
      <w:pPr>
        <w:ind w:left="720" w:hanging="360"/>
      </w:pPr>
      <w:rPr>
        <w:rFonts w:ascii="Symbol" w:hAnsi="Symbol" w:hint="default"/>
      </w:rPr>
    </w:lvl>
    <w:lvl w:ilvl="1" w:tplc="0A803C7C">
      <w:start w:val="1"/>
      <w:numFmt w:val="bullet"/>
      <w:lvlText w:val="o"/>
      <w:lvlJc w:val="left"/>
      <w:pPr>
        <w:ind w:left="1440" w:hanging="360"/>
      </w:pPr>
      <w:rPr>
        <w:rFonts w:ascii="Courier New" w:hAnsi="Courier New" w:hint="default"/>
      </w:rPr>
    </w:lvl>
    <w:lvl w:ilvl="2" w:tplc="BA7CDA0C">
      <w:start w:val="1"/>
      <w:numFmt w:val="bullet"/>
      <w:lvlText w:val=""/>
      <w:lvlJc w:val="left"/>
      <w:pPr>
        <w:ind w:left="2160" w:hanging="360"/>
      </w:pPr>
      <w:rPr>
        <w:rFonts w:ascii="Wingdings" w:hAnsi="Wingdings" w:hint="default"/>
      </w:rPr>
    </w:lvl>
    <w:lvl w:ilvl="3" w:tplc="BAD03522">
      <w:start w:val="1"/>
      <w:numFmt w:val="bullet"/>
      <w:lvlText w:val=""/>
      <w:lvlJc w:val="left"/>
      <w:pPr>
        <w:ind w:left="2880" w:hanging="360"/>
      </w:pPr>
      <w:rPr>
        <w:rFonts w:ascii="Symbol" w:hAnsi="Symbol" w:hint="default"/>
      </w:rPr>
    </w:lvl>
    <w:lvl w:ilvl="4" w:tplc="BB74E99A">
      <w:start w:val="1"/>
      <w:numFmt w:val="bullet"/>
      <w:lvlText w:val="o"/>
      <w:lvlJc w:val="left"/>
      <w:pPr>
        <w:ind w:left="3600" w:hanging="360"/>
      </w:pPr>
      <w:rPr>
        <w:rFonts w:ascii="Courier New" w:hAnsi="Courier New" w:hint="default"/>
      </w:rPr>
    </w:lvl>
    <w:lvl w:ilvl="5" w:tplc="72F6AC98">
      <w:start w:val="1"/>
      <w:numFmt w:val="bullet"/>
      <w:lvlText w:val=""/>
      <w:lvlJc w:val="left"/>
      <w:pPr>
        <w:ind w:left="4320" w:hanging="360"/>
      </w:pPr>
      <w:rPr>
        <w:rFonts w:ascii="Wingdings" w:hAnsi="Wingdings" w:hint="default"/>
      </w:rPr>
    </w:lvl>
    <w:lvl w:ilvl="6" w:tplc="C5C84154">
      <w:start w:val="1"/>
      <w:numFmt w:val="bullet"/>
      <w:lvlText w:val=""/>
      <w:lvlJc w:val="left"/>
      <w:pPr>
        <w:ind w:left="5040" w:hanging="360"/>
      </w:pPr>
      <w:rPr>
        <w:rFonts w:ascii="Symbol" w:hAnsi="Symbol" w:hint="default"/>
      </w:rPr>
    </w:lvl>
    <w:lvl w:ilvl="7" w:tplc="B6DC9830">
      <w:start w:val="1"/>
      <w:numFmt w:val="bullet"/>
      <w:lvlText w:val="o"/>
      <w:lvlJc w:val="left"/>
      <w:pPr>
        <w:ind w:left="5760" w:hanging="360"/>
      </w:pPr>
      <w:rPr>
        <w:rFonts w:ascii="Courier New" w:hAnsi="Courier New" w:hint="default"/>
      </w:rPr>
    </w:lvl>
    <w:lvl w:ilvl="8" w:tplc="07C8BCC8">
      <w:start w:val="1"/>
      <w:numFmt w:val="bullet"/>
      <w:lvlText w:val=""/>
      <w:lvlJc w:val="left"/>
      <w:pPr>
        <w:ind w:left="6480" w:hanging="360"/>
      </w:pPr>
      <w:rPr>
        <w:rFonts w:ascii="Wingdings" w:hAnsi="Wingdings" w:hint="default"/>
      </w:rPr>
    </w:lvl>
  </w:abstractNum>
  <w:abstractNum w:abstractNumId="2" w15:restartNumberingAfterBreak="0">
    <w:nsid w:val="54D15A37"/>
    <w:multiLevelType w:val="hybridMultilevel"/>
    <w:tmpl w:val="7C30A052"/>
    <w:lvl w:ilvl="0" w:tplc="FDE4E0E8">
      <w:start w:val="1"/>
      <w:numFmt w:val="bullet"/>
      <w:lvlText w:val="·"/>
      <w:lvlJc w:val="left"/>
      <w:pPr>
        <w:ind w:left="720" w:hanging="360"/>
      </w:pPr>
      <w:rPr>
        <w:rFonts w:ascii="Symbol" w:hAnsi="Symbol" w:hint="default"/>
      </w:rPr>
    </w:lvl>
    <w:lvl w:ilvl="1" w:tplc="AA3A2298">
      <w:start w:val="1"/>
      <w:numFmt w:val="bullet"/>
      <w:lvlText w:val="o"/>
      <w:lvlJc w:val="left"/>
      <w:pPr>
        <w:ind w:left="1440" w:hanging="360"/>
      </w:pPr>
      <w:rPr>
        <w:rFonts w:ascii="Courier New" w:hAnsi="Courier New" w:hint="default"/>
      </w:rPr>
    </w:lvl>
    <w:lvl w:ilvl="2" w:tplc="8DC07F34">
      <w:start w:val="1"/>
      <w:numFmt w:val="bullet"/>
      <w:lvlText w:val=""/>
      <w:lvlJc w:val="left"/>
      <w:pPr>
        <w:ind w:left="2160" w:hanging="360"/>
      </w:pPr>
      <w:rPr>
        <w:rFonts w:ascii="Wingdings" w:hAnsi="Wingdings" w:hint="default"/>
      </w:rPr>
    </w:lvl>
    <w:lvl w:ilvl="3" w:tplc="4EA227D0">
      <w:start w:val="1"/>
      <w:numFmt w:val="bullet"/>
      <w:lvlText w:val=""/>
      <w:lvlJc w:val="left"/>
      <w:pPr>
        <w:ind w:left="2880" w:hanging="360"/>
      </w:pPr>
      <w:rPr>
        <w:rFonts w:ascii="Symbol" w:hAnsi="Symbol" w:hint="default"/>
      </w:rPr>
    </w:lvl>
    <w:lvl w:ilvl="4" w:tplc="BA6A1010">
      <w:start w:val="1"/>
      <w:numFmt w:val="bullet"/>
      <w:lvlText w:val="o"/>
      <w:lvlJc w:val="left"/>
      <w:pPr>
        <w:ind w:left="3600" w:hanging="360"/>
      </w:pPr>
      <w:rPr>
        <w:rFonts w:ascii="Courier New" w:hAnsi="Courier New" w:hint="default"/>
      </w:rPr>
    </w:lvl>
    <w:lvl w:ilvl="5" w:tplc="BAB2D9AC">
      <w:start w:val="1"/>
      <w:numFmt w:val="bullet"/>
      <w:lvlText w:val=""/>
      <w:lvlJc w:val="left"/>
      <w:pPr>
        <w:ind w:left="4320" w:hanging="360"/>
      </w:pPr>
      <w:rPr>
        <w:rFonts w:ascii="Wingdings" w:hAnsi="Wingdings" w:hint="default"/>
      </w:rPr>
    </w:lvl>
    <w:lvl w:ilvl="6" w:tplc="33DE2400">
      <w:start w:val="1"/>
      <w:numFmt w:val="bullet"/>
      <w:lvlText w:val=""/>
      <w:lvlJc w:val="left"/>
      <w:pPr>
        <w:ind w:left="5040" w:hanging="360"/>
      </w:pPr>
      <w:rPr>
        <w:rFonts w:ascii="Symbol" w:hAnsi="Symbol" w:hint="default"/>
      </w:rPr>
    </w:lvl>
    <w:lvl w:ilvl="7" w:tplc="6C624E0E">
      <w:start w:val="1"/>
      <w:numFmt w:val="bullet"/>
      <w:lvlText w:val="o"/>
      <w:lvlJc w:val="left"/>
      <w:pPr>
        <w:ind w:left="5760" w:hanging="360"/>
      </w:pPr>
      <w:rPr>
        <w:rFonts w:ascii="Courier New" w:hAnsi="Courier New" w:hint="default"/>
      </w:rPr>
    </w:lvl>
    <w:lvl w:ilvl="8" w:tplc="F7786290">
      <w:start w:val="1"/>
      <w:numFmt w:val="bullet"/>
      <w:lvlText w:val=""/>
      <w:lvlJc w:val="left"/>
      <w:pPr>
        <w:ind w:left="6480" w:hanging="360"/>
      </w:pPr>
      <w:rPr>
        <w:rFonts w:ascii="Wingdings" w:hAnsi="Wingdings" w:hint="default"/>
      </w:rPr>
    </w:lvl>
  </w:abstractNum>
  <w:num w:numId="1" w16cid:durableId="1846164681">
    <w:abstractNumId w:val="0"/>
  </w:num>
  <w:num w:numId="2" w16cid:durableId="1358774008">
    <w:abstractNumId w:val="2"/>
  </w:num>
  <w:num w:numId="3" w16cid:durableId="153226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B74297"/>
    <w:rsid w:val="00117495"/>
    <w:rsid w:val="006C22C4"/>
    <w:rsid w:val="00B1601E"/>
    <w:rsid w:val="00D17CAA"/>
    <w:rsid w:val="00F439E1"/>
    <w:rsid w:val="10F3B6D9"/>
    <w:rsid w:val="44DE41F7"/>
    <w:rsid w:val="72B742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297"/>
  <w15:chartTrackingRefBased/>
  <w15:docId w15:val="{A468CB81-8058-4E33-96C8-3291697B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pPr>
      <w:spacing w:after="0" w:line="240" w:lineRule="auto"/>
    </w:pPr>
  </w:style>
  <w:style w:type="paragraph" w:styleId="Listeafsnit">
    <w:name w:val="List Paragraph"/>
    <w:basedOn w:val="Normal"/>
    <w:uiPriority w:val="34"/>
    <w:qFormat/>
    <w:pPr>
      <w:ind w:left="720"/>
      <w:contextualSpacing/>
    </w:pPr>
  </w:style>
  <w:style w:type="paragraph" w:styleId="Sidehoved">
    <w:name w:val="header"/>
    <w:basedOn w:val="Normal"/>
    <w:link w:val="SidehovedTegn"/>
    <w:uiPriority w:val="99"/>
    <w:unhideWhenUsed/>
    <w:rsid w:val="001174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7495"/>
  </w:style>
  <w:style w:type="paragraph" w:styleId="Sidefod">
    <w:name w:val="footer"/>
    <w:basedOn w:val="Normal"/>
    <w:link w:val="SidefodTegn"/>
    <w:uiPriority w:val="99"/>
    <w:unhideWhenUsed/>
    <w:rsid w:val="001174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2EBF14DD37134CB42F40EC88262611" ma:contentTypeVersion="22" ma:contentTypeDescription="Opret et nyt dokument." ma:contentTypeScope="" ma:versionID="2f77099432be50b39ea300cc00942879">
  <xsd:schema xmlns:xsd="http://www.w3.org/2001/XMLSchema" xmlns:xs="http://www.w3.org/2001/XMLSchema" xmlns:p="http://schemas.microsoft.com/office/2006/metadata/properties" xmlns:ns2="f9aa874a-58e1-454b-9c53-bdc2bbae50b9" xmlns:ns3="df40c755-8202-4199-ba23-0ae509c3b01e" targetNamespace="http://schemas.microsoft.com/office/2006/metadata/properties" ma:root="true" ma:fieldsID="0c742227c6e4e55f7b7f907fe64146ec" ns2:_="" ns3:_="">
    <xsd:import namespace="f9aa874a-58e1-454b-9c53-bdc2bbae50b9"/>
    <xsd:import namespace="df40c755-8202-4199-ba23-0ae509c3b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s" minOccurs="0"/>
                <xsd:element ref="ns2:MediaLengthInSeconds" minOccurs="0"/>
                <xsd:element ref="ns3:TaxCatchAll"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a874a-58e1-454b-9c53-bdc2bbae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0c755-8202-4199-ba23-0ae509c3b01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b8a06cad-0397-40bf-b77a-515ae85c53a6}" ma:internalName="TaxCatchAll" ma:showField="CatchAllData" ma:web="df40c755-8202-4199-ba23-0ae509c3b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40c755-8202-4199-ba23-0ae509c3b01e" xsi:nil="true"/>
    <lcf76f155ced4ddcb4097134ff3c332f xmlns="f9aa874a-58e1-454b-9c53-bdc2bbae50b9">
      <Terms xmlns="http://schemas.microsoft.com/office/infopath/2007/PartnerControls"/>
    </lcf76f155ced4ddcb4097134ff3c332f>
    <SharedWithUsers xmlns="df40c755-8202-4199-ba23-0ae509c3b01e">
      <UserInfo>
        <DisplayName/>
        <AccountId xsi:nil="true"/>
        <AccountType/>
      </UserInfo>
    </SharedWithUsers>
    <Notes xmlns="f9aa874a-58e1-454b-9c53-bdc2bbae50b9" xsi:nil="true"/>
    <_Flow_SignoffStatus xmlns="f9aa874a-58e1-454b-9c53-bdc2bbae50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0CF11-A048-4AB7-BFBF-EC961D8C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a874a-58e1-454b-9c53-bdc2bbae50b9"/>
    <ds:schemaRef ds:uri="df40c755-8202-4199-ba23-0ae509c3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565CF-A546-47E2-9F65-66B26E88EEF9}">
  <ds:schemaRefs>
    <ds:schemaRef ds:uri="http://schemas.microsoft.com/office/2006/metadata/properties"/>
    <ds:schemaRef ds:uri="http://schemas.microsoft.com/office/infopath/2007/PartnerControls"/>
    <ds:schemaRef ds:uri="df40c755-8202-4199-ba23-0ae509c3b01e"/>
    <ds:schemaRef ds:uri="f9aa874a-58e1-454b-9c53-bdc2bbae50b9"/>
  </ds:schemaRefs>
</ds:datastoreItem>
</file>

<file path=customXml/itemProps3.xml><?xml version="1.0" encoding="utf-8"?>
<ds:datastoreItem xmlns:ds="http://schemas.openxmlformats.org/officeDocument/2006/customXml" ds:itemID="{F84025D3-51EF-4723-9266-B844603D6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1952</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Damsgaard</dc:creator>
  <cp:keywords/>
  <dc:description/>
  <cp:lastModifiedBy>Frida Høite</cp:lastModifiedBy>
  <cp:revision>3</cp:revision>
  <dcterms:created xsi:type="dcterms:W3CDTF">2024-08-08T10:52:00Z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0x010100652EBF14DD37134CB42F40EC88262611</vt:lpwstr>
  </property>
  <property fmtid="{D5CDD505-2E9C-101B-9397-08002B2CF9AE}" pid="3" name="MediaServiceImageTags">
    <vt:lpwstr/>
  </property>
  <property fmtid="{D5CDD505-2E9C-101B-9397-08002B2CF9AE}" pid="4" name="Order">
    <vt:r8>1089300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